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F7" w:rsidRDefault="00EF57F7">
      <w:pPr>
        <w:pStyle w:val="2"/>
        <w:rPr>
          <w:lang w:val="ru-RU"/>
        </w:rPr>
      </w:pPr>
    </w:p>
    <w:p w:rsidR="00525CE1" w:rsidRPr="005E78D0" w:rsidRDefault="005E78D0">
      <w:pPr>
        <w:pStyle w:val="2"/>
        <w:rPr>
          <w:lang w:val="ru-RU"/>
        </w:rPr>
      </w:pPr>
      <w:r w:rsidRPr="005E78D0">
        <w:rPr>
          <w:lang w:val="ru-RU"/>
        </w:rPr>
        <w:t>Федеральные государственные органы</w:t>
      </w:r>
      <w:r w:rsidRPr="005E78D0">
        <w:rPr>
          <w:lang w:val="ru-RU"/>
        </w:rPr>
        <w:br/>
        <w:t>Высшие органы исполнительной власти субъектов Российской Федерации</w:t>
      </w:r>
      <w:r w:rsidRPr="005E78D0">
        <w:rPr>
          <w:lang w:val="ru-RU"/>
        </w:rPr>
        <w:br/>
        <w:t xml:space="preserve">Организации 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</w:t>
      </w:r>
      <w:r>
        <w:t> </w:t>
      </w:r>
      <w:r w:rsidRPr="005E78D0">
        <w:rPr>
          <w:lang w:val="ru-RU"/>
        </w:rPr>
        <w:t>апреля 2013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309 «О мерах по реализации отдельных положений Федерального закона «О противодействии коррупции»,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rStyle w:val="StrongEmphasis"/>
          <w:lang w:val="ru-RU"/>
        </w:rPr>
        <w:t>Первый заместитель Министра</w:t>
      </w:r>
      <w:r>
        <w:rPr>
          <w:rStyle w:val="StrongEmphasis"/>
        </w:rPr>
        <w:t> </w:t>
      </w:r>
      <w:r w:rsidRPr="005E78D0">
        <w:rPr>
          <w:rStyle w:val="StrongEmphasis"/>
          <w:lang w:val="ru-RU"/>
        </w:rPr>
        <w:t>труда и социальной защиты</w:t>
      </w:r>
      <w:r>
        <w:rPr>
          <w:rStyle w:val="StrongEmphasis"/>
        </w:rPr>
        <w:t> </w:t>
      </w:r>
      <w:r w:rsidRPr="005E78D0">
        <w:rPr>
          <w:rStyle w:val="StrongEmphasis"/>
          <w:lang w:val="ru-RU"/>
        </w:rPr>
        <w:t>Российской Федерации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rStyle w:val="StrongEmphasis"/>
          <w:lang w:val="ru-RU"/>
        </w:rPr>
        <w:t>А.В. Вовченко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rStyle w:val="StrongEmphasis"/>
          <w:lang w:val="ru-RU"/>
        </w:rPr>
        <w:t xml:space="preserve">Информационное письмо </w:t>
      </w:r>
      <w:r w:rsidRPr="005E78D0">
        <w:rPr>
          <w:rStyle w:val="StrongEmphasis"/>
          <w:lang w:val="ru-RU"/>
        </w:rPr>
        <w:br/>
      </w:r>
      <w:r w:rsidRPr="005E78D0">
        <w:rPr>
          <w:lang w:val="ru-RU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525CE1" w:rsidRPr="005E78D0" w:rsidRDefault="005E78D0">
      <w:pPr>
        <w:pStyle w:val="a0"/>
        <w:rPr>
          <w:lang w:val="ru-RU"/>
        </w:rPr>
      </w:pPr>
      <w:r>
        <w:t> </w:t>
      </w:r>
    </w:p>
    <w:p w:rsidR="00525CE1" w:rsidRPr="005E78D0" w:rsidRDefault="005E78D0">
      <w:pPr>
        <w:pStyle w:val="a0"/>
        <w:rPr>
          <w:lang w:val="ru-RU"/>
        </w:rPr>
      </w:pPr>
      <w:proofErr w:type="gramStart"/>
      <w:r w:rsidRPr="005E78D0">
        <w:rPr>
          <w:lang w:val="ru-RU"/>
        </w:rPr>
        <w:t>В связи с принятием Федерального закона от 31</w:t>
      </w:r>
      <w:r>
        <w:t> </w:t>
      </w:r>
      <w:r w:rsidRPr="005E78D0">
        <w:rPr>
          <w:lang w:val="ru-RU"/>
        </w:rPr>
        <w:t>июля 2020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закон №</w:t>
      </w:r>
      <w:r>
        <w:t> </w:t>
      </w:r>
      <w:r w:rsidRPr="005E78D0">
        <w:rPr>
          <w:lang w:val="ru-RU"/>
        </w:rPr>
        <w:t>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 w:rsidRPr="005E78D0">
          <w:rPr>
            <w:rStyle w:val="InternetLink"/>
            <w:position w:val="8"/>
            <w:sz w:val="19"/>
            <w:lang w:val="ru-RU"/>
          </w:rPr>
          <w:t>[1]</w:t>
        </w:r>
      </w:hyperlink>
      <w:r w:rsidRPr="005E78D0">
        <w:rPr>
          <w:lang w:val="ru-RU"/>
        </w:rPr>
        <w:t xml:space="preserve"> и цифровой валютой</w:t>
      </w:r>
      <w:hyperlink w:anchor="_ftn2">
        <w:r w:rsidRPr="005E78D0">
          <w:rPr>
            <w:rStyle w:val="InternetLink"/>
            <w:position w:val="8"/>
            <w:sz w:val="19"/>
            <w:lang w:val="ru-RU"/>
          </w:rPr>
          <w:t>[2]</w:t>
        </w:r>
      </w:hyperlink>
      <w:r w:rsidRPr="005E78D0">
        <w:rPr>
          <w:lang w:val="ru-RU"/>
        </w:rPr>
        <w:t>. Указанное регулирование затрагивает, в частности, вопросы противодействия коррупции.</w:t>
      </w:r>
      <w:proofErr w:type="gramEnd"/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В первую очередь, необходимо учитывать, что Федеральный закон №</w:t>
      </w:r>
      <w:r>
        <w:t> </w:t>
      </w:r>
      <w:r w:rsidRPr="005E78D0">
        <w:rPr>
          <w:lang w:val="ru-RU"/>
        </w:rPr>
        <w:t>259-ФЗ (за исключением отдельного положения</w:t>
      </w:r>
      <w:hyperlink w:anchor="_ftn3">
        <w:r w:rsidRPr="005E78D0">
          <w:rPr>
            <w:rStyle w:val="InternetLink"/>
            <w:position w:val="8"/>
            <w:sz w:val="19"/>
            <w:lang w:val="ru-RU"/>
          </w:rPr>
          <w:t>[3]</w:t>
        </w:r>
      </w:hyperlink>
      <w:r w:rsidRPr="005E78D0">
        <w:rPr>
          <w:lang w:val="ru-RU"/>
        </w:rPr>
        <w:t>) вступает в силу</w:t>
      </w:r>
      <w:r>
        <w:t> </w:t>
      </w:r>
      <w:r w:rsidRPr="005E78D0">
        <w:rPr>
          <w:lang w:val="ru-RU"/>
        </w:rPr>
        <w:t>с 1</w:t>
      </w:r>
      <w:r>
        <w:t> </w:t>
      </w:r>
      <w:r w:rsidRPr="005E78D0">
        <w:rPr>
          <w:lang w:val="ru-RU"/>
        </w:rPr>
        <w:t>января 2021</w:t>
      </w:r>
      <w:r>
        <w:t> </w:t>
      </w:r>
      <w:r w:rsidRPr="005E78D0">
        <w:rPr>
          <w:lang w:val="ru-RU"/>
        </w:rPr>
        <w:t>г.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</w:t>
      </w:r>
      <w:r>
        <w:t> </w:t>
      </w:r>
      <w:r w:rsidRPr="005E78D0">
        <w:rPr>
          <w:lang w:val="ru-RU"/>
        </w:rPr>
        <w:t>января 2021</w:t>
      </w:r>
      <w:r>
        <w:t> </w:t>
      </w:r>
      <w:r w:rsidRPr="005E78D0">
        <w:rPr>
          <w:lang w:val="ru-RU"/>
        </w:rPr>
        <w:t>г.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№</w:t>
      </w:r>
      <w:r>
        <w:t> </w:t>
      </w:r>
      <w:r w:rsidRPr="005E78D0">
        <w:rPr>
          <w:lang w:val="ru-RU"/>
        </w:rPr>
        <w:t>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</w:t>
      </w:r>
      <w:r>
        <w:t> </w:t>
      </w:r>
      <w:r w:rsidRPr="005E78D0">
        <w:rPr>
          <w:lang w:val="ru-RU"/>
        </w:rPr>
        <w:t>11 статьи</w:t>
      </w:r>
      <w:r>
        <w:t> </w:t>
      </w:r>
      <w:r w:rsidRPr="005E78D0">
        <w:rPr>
          <w:lang w:val="ru-RU"/>
        </w:rPr>
        <w:t>1 Федерального закона №</w:t>
      </w:r>
      <w:r>
        <w:t> </w:t>
      </w:r>
      <w:r w:rsidRPr="005E78D0">
        <w:rPr>
          <w:lang w:val="ru-RU"/>
        </w:rPr>
        <w:t>259-ФЗ).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(«кешбэк сервис»).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lastRenderedPageBreak/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</w:t>
      </w:r>
      <w:r>
        <w:t> </w:t>
      </w:r>
      <w:r w:rsidRPr="005E78D0">
        <w:rPr>
          <w:lang w:val="ru-RU"/>
        </w:rPr>
        <w:t>259-ФЗ, сообщается следующее.</w:t>
      </w:r>
      <w:r>
        <w:t> </w:t>
      </w:r>
    </w:p>
    <w:p w:rsidR="00525CE1" w:rsidRPr="005E78D0" w:rsidRDefault="005E78D0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5E78D0">
        <w:rPr>
          <w:rStyle w:val="StrongEmphasis"/>
          <w:lang w:val="ru-RU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Pr="005E78D0">
        <w:rPr>
          <w:lang w:val="ru-RU"/>
        </w:rPr>
        <w:t xml:space="preserve"> 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С 1</w:t>
      </w:r>
      <w:r>
        <w:t> </w:t>
      </w:r>
      <w:r w:rsidRPr="005E78D0">
        <w:rPr>
          <w:lang w:val="ru-RU"/>
        </w:rPr>
        <w:t>января 2021</w:t>
      </w:r>
      <w:r>
        <w:t> </w:t>
      </w:r>
      <w:r w:rsidRPr="005E78D0">
        <w:rPr>
          <w:lang w:val="ru-RU"/>
        </w:rPr>
        <w:t>г. часть</w:t>
      </w:r>
      <w:r>
        <w:t> </w:t>
      </w:r>
      <w:r w:rsidRPr="005E78D0">
        <w:rPr>
          <w:lang w:val="ru-RU"/>
        </w:rPr>
        <w:t>2 статьи</w:t>
      </w:r>
      <w:r>
        <w:t> </w:t>
      </w:r>
      <w:r w:rsidRPr="005E78D0">
        <w:rPr>
          <w:lang w:val="ru-RU"/>
        </w:rPr>
        <w:t>1 Федерального закона от 7</w:t>
      </w:r>
      <w:r>
        <w:t> </w:t>
      </w:r>
      <w:r w:rsidRPr="005E78D0">
        <w:rPr>
          <w:lang w:val="ru-RU"/>
        </w:rPr>
        <w:t>мая 2013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</w:t>
      </w:r>
      <w:r>
        <w:t> </w:t>
      </w:r>
      <w:r w:rsidRPr="005E78D0">
        <w:rPr>
          <w:lang w:val="ru-RU"/>
        </w:rPr>
        <w:t>мая 2013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79-ФЗ) дополняется пунктом</w:t>
      </w:r>
      <w:r>
        <w:t> </w:t>
      </w:r>
      <w:r w:rsidRPr="005E78D0">
        <w:rPr>
          <w:lang w:val="ru-RU"/>
        </w:rPr>
        <w:t>7, согласно которому к иностранным финансовым инструментам будут отнесены: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-</w:t>
      </w:r>
      <w:r>
        <w:t> </w:t>
      </w:r>
      <w:r w:rsidRPr="005E78D0">
        <w:rPr>
          <w:lang w:val="ru-RU"/>
        </w:rPr>
        <w:t>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</w:t>
      </w:r>
      <w:r>
        <w:t> </w:t>
      </w:r>
      <w:r w:rsidRPr="005E78D0">
        <w:rPr>
          <w:lang w:val="ru-RU"/>
        </w:rPr>
        <w:t>1 статьи</w:t>
      </w:r>
      <w:r>
        <w:t> </w:t>
      </w:r>
      <w:r w:rsidRPr="005E78D0">
        <w:rPr>
          <w:lang w:val="ru-RU"/>
        </w:rPr>
        <w:t>2 Федерального закона от 7</w:t>
      </w:r>
      <w:r>
        <w:t> </w:t>
      </w:r>
      <w:r w:rsidRPr="005E78D0">
        <w:rPr>
          <w:lang w:val="ru-RU"/>
        </w:rPr>
        <w:t>мая 2013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-</w:t>
      </w:r>
      <w:r>
        <w:t> </w:t>
      </w:r>
      <w:r w:rsidRPr="005E78D0">
        <w:rPr>
          <w:lang w:val="ru-RU"/>
        </w:rPr>
        <w:t>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</w:t>
      </w:r>
      <w:r>
        <w:t> </w:t>
      </w:r>
      <w:r w:rsidRPr="005E78D0">
        <w:rPr>
          <w:lang w:val="ru-RU"/>
        </w:rPr>
        <w:t>1 статьи</w:t>
      </w:r>
      <w:r>
        <w:t> </w:t>
      </w:r>
      <w:r w:rsidRPr="005E78D0">
        <w:rPr>
          <w:lang w:val="ru-RU"/>
        </w:rPr>
        <w:t>2 Федерального закона от 7 мая 2013 г. №</w:t>
      </w:r>
      <w:r>
        <w:t> </w:t>
      </w:r>
      <w:r w:rsidRPr="005E78D0">
        <w:rPr>
          <w:lang w:val="ru-RU"/>
        </w:rPr>
        <w:t xml:space="preserve">79-ФЗ, будет запрещено владеть и пользоваться </w:t>
      </w:r>
      <w:r w:rsidRPr="005E78D0">
        <w:rPr>
          <w:rStyle w:val="StrongEmphasis"/>
          <w:lang w:val="ru-RU"/>
        </w:rPr>
        <w:t>любой</w:t>
      </w:r>
      <w:r w:rsidRPr="005E78D0">
        <w:rPr>
          <w:lang w:val="ru-RU"/>
        </w:rP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Исходя из положений части</w:t>
      </w:r>
      <w:r>
        <w:t> </w:t>
      </w:r>
      <w:r w:rsidRPr="005E78D0">
        <w:rPr>
          <w:lang w:val="ru-RU"/>
        </w:rPr>
        <w:t>6 статьи</w:t>
      </w:r>
      <w:r>
        <w:t> </w:t>
      </w:r>
      <w:r w:rsidRPr="005E78D0">
        <w:rPr>
          <w:lang w:val="ru-RU"/>
        </w:rPr>
        <w:t>27 Федерального закона №</w:t>
      </w:r>
      <w:r>
        <w:t> </w:t>
      </w:r>
      <w:r w:rsidRPr="005E78D0">
        <w:rPr>
          <w:lang w:val="ru-RU"/>
        </w:rPr>
        <w:t>259-ФЗ, лица, поименованные в части 1 статьи 2 Федерального закона от 7 мая 2013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 xml:space="preserve">79-ФЗ, </w:t>
      </w:r>
      <w:r w:rsidRPr="005E78D0">
        <w:rPr>
          <w:rStyle w:val="StrongEmphasis"/>
          <w:lang w:val="ru-RU"/>
        </w:rPr>
        <w:t>обязаны до 1 апреля 2021</w:t>
      </w:r>
      <w:r>
        <w:rPr>
          <w:rStyle w:val="StrongEmphasis"/>
        </w:rPr>
        <w:t> </w:t>
      </w:r>
      <w:r w:rsidRPr="005E78D0">
        <w:rPr>
          <w:rStyle w:val="StrongEmphasis"/>
          <w:lang w:val="ru-RU"/>
        </w:rPr>
        <w:t>г. осуществить отчуждение</w:t>
      </w:r>
      <w:r w:rsidRPr="005E78D0">
        <w:rPr>
          <w:lang w:val="ru-RU"/>
        </w:rPr>
        <w:t xml:space="preserve">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  <w:r>
        <w:t> </w:t>
      </w:r>
    </w:p>
    <w:p w:rsidR="00525CE1" w:rsidRDefault="005E78D0">
      <w:pPr>
        <w:pStyle w:val="a0"/>
        <w:numPr>
          <w:ilvl w:val="0"/>
          <w:numId w:val="2"/>
        </w:numPr>
        <w:tabs>
          <w:tab w:val="left" w:pos="0"/>
        </w:tabs>
      </w:pPr>
      <w:proofErr w:type="spellStart"/>
      <w:r>
        <w:rPr>
          <w:rStyle w:val="StrongEmphasis"/>
        </w:rPr>
        <w:t>Представление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сведений</w:t>
      </w:r>
      <w:proofErr w:type="spellEnd"/>
      <w:r>
        <w:rPr>
          <w:rStyle w:val="StrongEmphasis"/>
        </w:rPr>
        <w:t xml:space="preserve"> о </w:t>
      </w:r>
      <w:proofErr w:type="spellStart"/>
      <w:r>
        <w:rPr>
          <w:rStyle w:val="StrongEmphasis"/>
        </w:rPr>
        <w:t>расходах</w:t>
      </w:r>
      <w:proofErr w:type="spellEnd"/>
      <w:r>
        <w:rPr>
          <w:rStyle w:val="StrongEmphasis"/>
        </w:rPr>
        <w:t>.</w:t>
      </w:r>
      <w:r>
        <w:t xml:space="preserve"> </w:t>
      </w:r>
    </w:p>
    <w:p w:rsidR="00525CE1" w:rsidRPr="005E78D0" w:rsidRDefault="005E78D0">
      <w:pPr>
        <w:pStyle w:val="a0"/>
        <w:rPr>
          <w:lang w:val="ru-RU"/>
        </w:rPr>
      </w:pPr>
      <w:proofErr w:type="gramStart"/>
      <w:r w:rsidRPr="005E78D0">
        <w:rPr>
          <w:lang w:val="ru-RU"/>
        </w:rPr>
        <w:t>С 1</w:t>
      </w:r>
      <w:r>
        <w:t> </w:t>
      </w:r>
      <w:r w:rsidRPr="005E78D0">
        <w:rPr>
          <w:lang w:val="ru-RU"/>
        </w:rPr>
        <w:t>января 2021</w:t>
      </w:r>
      <w:r>
        <w:t> </w:t>
      </w:r>
      <w:r w:rsidRPr="005E78D0">
        <w:rPr>
          <w:lang w:val="ru-RU"/>
        </w:rPr>
        <w:t>г. вступают в силу изменения, предусматривающие корректировку положений Федерального закона от 3</w:t>
      </w:r>
      <w:r>
        <w:t> </w:t>
      </w:r>
      <w:r w:rsidRPr="005E78D0">
        <w:rPr>
          <w:lang w:val="ru-RU"/>
        </w:rPr>
        <w:t>декабря 2012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230-ФЗ «О контроле за соответствием расходов лиц, замещающих государственные должности, и иных лиц их доходам»</w:t>
      </w:r>
      <w:hyperlink w:anchor="_ftn4">
        <w:r w:rsidRPr="005E78D0">
          <w:rPr>
            <w:rStyle w:val="InternetLink"/>
            <w:position w:val="8"/>
            <w:sz w:val="19"/>
            <w:lang w:val="ru-RU"/>
          </w:rPr>
          <w:t>[4]</w:t>
        </w:r>
      </w:hyperlink>
      <w:r w:rsidRPr="005E78D0">
        <w:rPr>
          <w:lang w:val="ru-RU"/>
        </w:rPr>
        <w:t>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</w:t>
      </w:r>
      <w:proofErr w:type="gramEnd"/>
      <w:r w:rsidRPr="005E78D0">
        <w:rPr>
          <w:lang w:val="ru-RU"/>
        </w:rPr>
        <w:t xml:space="preserve"> каждой сделке по </w:t>
      </w:r>
      <w:proofErr w:type="gramStart"/>
      <w:r w:rsidRPr="005E78D0">
        <w:rPr>
          <w:lang w:val="ru-RU"/>
        </w:rPr>
        <w:t>приобретению</w:t>
      </w:r>
      <w:proofErr w:type="gramEnd"/>
      <w:r w:rsidRPr="005E78D0">
        <w:rPr>
          <w:lang w:val="ru-RU"/>
        </w:rPr>
        <w:t xml:space="preserve"> в том числе цифровых финансовых активов и цифровой валюты.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Учитывая, что статус цифровых финансовых активов и цифровой валюты в Российской Федерации устанавливается с 1</w:t>
      </w:r>
      <w:r>
        <w:t> </w:t>
      </w:r>
      <w:r w:rsidRPr="005E78D0">
        <w:rPr>
          <w:lang w:val="ru-RU"/>
        </w:rPr>
        <w:t>января 2021</w:t>
      </w:r>
      <w:r>
        <w:t> </w:t>
      </w:r>
      <w:r w:rsidRPr="005E78D0">
        <w:rPr>
          <w:lang w:val="ru-RU"/>
        </w:rPr>
        <w:t>г.,</w:t>
      </w:r>
      <w:r>
        <w:t> </w:t>
      </w:r>
      <w:r w:rsidRPr="005E78D0">
        <w:rPr>
          <w:rStyle w:val="StrongEmphasis"/>
          <w:lang w:val="ru-RU"/>
        </w:rPr>
        <w:t xml:space="preserve">не требуется </w:t>
      </w:r>
      <w:r w:rsidRPr="005E78D0">
        <w:rPr>
          <w:lang w:val="ru-RU"/>
        </w:rPr>
        <w:t>сообщать о соответствующих сделках по приобретению цифровых финансовых активов и цифровой валюты, совершенных в 2020</w:t>
      </w:r>
      <w:r>
        <w:t> </w:t>
      </w:r>
      <w:r w:rsidRPr="005E78D0">
        <w:rPr>
          <w:lang w:val="ru-RU"/>
        </w:rPr>
        <w:t>г.</w:t>
      </w:r>
      <w:r>
        <w:t> </w:t>
      </w:r>
    </w:p>
    <w:p w:rsidR="00525CE1" w:rsidRPr="005E78D0" w:rsidRDefault="005E78D0">
      <w:pPr>
        <w:pStyle w:val="a0"/>
        <w:numPr>
          <w:ilvl w:val="0"/>
          <w:numId w:val="3"/>
        </w:numPr>
        <w:tabs>
          <w:tab w:val="left" w:pos="0"/>
        </w:tabs>
        <w:rPr>
          <w:lang w:val="ru-RU"/>
        </w:rPr>
      </w:pPr>
      <w:r w:rsidRPr="005E78D0">
        <w:rPr>
          <w:rStyle w:val="StrongEmphasis"/>
          <w:lang w:val="ru-RU"/>
        </w:rPr>
        <w:t>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  <w:r w:rsidRPr="005E78D0">
        <w:rPr>
          <w:lang w:val="ru-RU"/>
        </w:rPr>
        <w:t xml:space="preserve"> 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</w:t>
      </w:r>
      <w:r>
        <w:t> </w:t>
      </w:r>
      <w:r w:rsidRPr="005E78D0">
        <w:rPr>
          <w:lang w:val="ru-RU"/>
        </w:rPr>
        <w:t xml:space="preserve">г. </w:t>
      </w:r>
      <w:r w:rsidRPr="005E78D0">
        <w:rPr>
          <w:rStyle w:val="StrongEmphasis"/>
          <w:lang w:val="ru-RU"/>
        </w:rPr>
        <w:t>не требуется</w:t>
      </w:r>
      <w:r w:rsidRPr="005E78D0">
        <w:rPr>
          <w:lang w:val="ru-RU"/>
        </w:rPr>
        <w:t xml:space="preserve"> представлять сведения о цифровых финансовых </w:t>
      </w:r>
      <w:r w:rsidRPr="005E78D0">
        <w:rPr>
          <w:lang w:val="ru-RU"/>
        </w:rPr>
        <w:lastRenderedPageBreak/>
        <w:t>активах и цифровой валюте по состоянию на 31</w:t>
      </w:r>
      <w:r>
        <w:t> </w:t>
      </w:r>
      <w:r w:rsidRPr="005E78D0">
        <w:rPr>
          <w:lang w:val="ru-RU"/>
        </w:rPr>
        <w:t>декабря 2020</w:t>
      </w:r>
      <w:r>
        <w:t> </w:t>
      </w:r>
      <w:r w:rsidRPr="005E78D0">
        <w:rPr>
          <w:lang w:val="ru-RU"/>
        </w:rPr>
        <w:t>г.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В 2021</w:t>
      </w:r>
      <w:r>
        <w:t> </w:t>
      </w:r>
      <w:r w:rsidRPr="005E78D0">
        <w:rPr>
          <w:lang w:val="ru-RU"/>
        </w:rPr>
        <w:t>году для отдельных лиц, претендующих на замещение соответствующих должностей, представить вышеуказанные сведения необходимо в соответствии с пунктом</w:t>
      </w:r>
      <w:r>
        <w:t> </w:t>
      </w:r>
      <w:r w:rsidRPr="005E78D0">
        <w:rPr>
          <w:lang w:val="ru-RU"/>
        </w:rPr>
        <w:t>1 Указа Президента Российской Федерации от 10</w:t>
      </w:r>
      <w:r>
        <w:t> </w:t>
      </w:r>
      <w:r w:rsidRPr="005E78D0">
        <w:rPr>
          <w:lang w:val="ru-RU"/>
        </w:rPr>
        <w:t>декабря 2020</w:t>
      </w:r>
      <w:r>
        <w:t> </w:t>
      </w:r>
      <w:r w:rsidRPr="005E78D0">
        <w:rPr>
          <w:lang w:val="ru-RU"/>
        </w:rPr>
        <w:t>г. №</w:t>
      </w:r>
      <w:r>
        <w:t> </w:t>
      </w:r>
      <w:r w:rsidRPr="005E78D0">
        <w:rPr>
          <w:lang w:val="ru-RU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525CE1" w:rsidRPr="005E78D0" w:rsidRDefault="005E78D0">
      <w:pPr>
        <w:pStyle w:val="a0"/>
        <w:rPr>
          <w:lang w:val="ru-RU"/>
        </w:rPr>
      </w:pPr>
      <w:r w:rsidRPr="005E78D0">
        <w:rPr>
          <w:lang w:val="ru-RU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525CE1" w:rsidRPr="005E78D0" w:rsidRDefault="00CF3476">
      <w:pPr>
        <w:pStyle w:val="a0"/>
        <w:rPr>
          <w:lang w:val="ru-RU"/>
        </w:rPr>
      </w:pPr>
      <w:hyperlink w:anchor="_ftnref1">
        <w:r w:rsidR="005E78D0" w:rsidRPr="005E78D0">
          <w:rPr>
            <w:rStyle w:val="InternetLink"/>
            <w:lang w:val="ru-RU"/>
          </w:rPr>
          <w:t>[1]</w:t>
        </w:r>
      </w:hyperlink>
      <w:r w:rsidR="005E78D0" w:rsidRPr="005E78D0">
        <w:rPr>
          <w:lang w:val="ru-RU"/>
        </w:rPr>
        <w:t xml:space="preserve"> См. часть 2 статьи 1 Федерального закона №</w:t>
      </w:r>
      <w:r w:rsidR="005E78D0">
        <w:t> </w:t>
      </w:r>
      <w:r w:rsidR="005E78D0" w:rsidRPr="005E78D0">
        <w:rPr>
          <w:lang w:val="ru-RU"/>
        </w:rPr>
        <w:t>259-ФЗ.</w:t>
      </w:r>
    </w:p>
    <w:p w:rsidR="00525CE1" w:rsidRPr="005E78D0" w:rsidRDefault="00CF3476">
      <w:pPr>
        <w:pStyle w:val="a0"/>
        <w:rPr>
          <w:lang w:val="ru-RU"/>
        </w:rPr>
      </w:pPr>
      <w:hyperlink w:anchor="_ftnref2">
        <w:r w:rsidR="005E78D0" w:rsidRPr="005E78D0">
          <w:rPr>
            <w:rStyle w:val="InternetLink"/>
            <w:lang w:val="ru-RU"/>
          </w:rPr>
          <w:t>[2]</w:t>
        </w:r>
      </w:hyperlink>
      <w:r w:rsidR="005E78D0" w:rsidRPr="005E78D0">
        <w:rPr>
          <w:lang w:val="ru-RU"/>
        </w:rPr>
        <w:t xml:space="preserve"> См. часть 3 статьи 1 Федерального закона № 259-ФЗ.</w:t>
      </w:r>
    </w:p>
    <w:p w:rsidR="00525CE1" w:rsidRPr="005E78D0" w:rsidRDefault="00CF3476">
      <w:pPr>
        <w:pStyle w:val="a0"/>
        <w:rPr>
          <w:lang w:val="ru-RU"/>
        </w:rPr>
      </w:pPr>
      <w:hyperlink w:anchor="_ftnref3">
        <w:r w:rsidR="005E78D0" w:rsidRPr="005E78D0">
          <w:rPr>
            <w:rStyle w:val="InternetLink"/>
            <w:lang w:val="ru-RU"/>
          </w:rPr>
          <w:t>[3]</w:t>
        </w:r>
      </w:hyperlink>
      <w:r w:rsidR="005E78D0" w:rsidRPr="005E78D0">
        <w:rPr>
          <w:lang w:val="ru-RU"/>
        </w:rPr>
        <w:t xml:space="preserve"> См. части 1, 2 статьи 27 Федерального закона №</w:t>
      </w:r>
      <w:r w:rsidR="005E78D0">
        <w:t> </w:t>
      </w:r>
      <w:r w:rsidR="005E78D0" w:rsidRPr="005E78D0">
        <w:rPr>
          <w:lang w:val="ru-RU"/>
        </w:rPr>
        <w:t>259-ФЗ.</w:t>
      </w:r>
    </w:p>
    <w:p w:rsidR="00525CE1" w:rsidRPr="00A2321A" w:rsidRDefault="00CF3476">
      <w:pPr>
        <w:pStyle w:val="a0"/>
        <w:rPr>
          <w:lang w:val="ru-RU"/>
        </w:rPr>
      </w:pPr>
      <w:hyperlink w:anchor="_ftnref4">
        <w:r w:rsidR="005E78D0" w:rsidRPr="00A2321A">
          <w:rPr>
            <w:rStyle w:val="InternetLink"/>
            <w:lang w:val="ru-RU"/>
          </w:rPr>
          <w:t>[4]</w:t>
        </w:r>
      </w:hyperlink>
      <w:r w:rsidR="005E78D0" w:rsidRPr="00A2321A">
        <w:rPr>
          <w:lang w:val="ru-RU"/>
        </w:rPr>
        <w:t xml:space="preserve"> См. статью 24 Федерального закона №</w:t>
      </w:r>
      <w:r w:rsidR="005E78D0">
        <w:t> </w:t>
      </w:r>
      <w:r w:rsidR="005E78D0" w:rsidRPr="00A2321A">
        <w:rPr>
          <w:lang w:val="ru-RU"/>
        </w:rPr>
        <w:t>259-ФЗ.</w:t>
      </w:r>
    </w:p>
    <w:p w:rsidR="00A2321A" w:rsidRDefault="00A2321A">
      <w:pPr>
        <w:pStyle w:val="a0"/>
        <w:rPr>
          <w:lang w:val="ru-RU"/>
        </w:rPr>
      </w:pPr>
    </w:p>
    <w:p w:rsidR="00A2321A" w:rsidRPr="00A2321A" w:rsidRDefault="00A2321A">
      <w:pPr>
        <w:pStyle w:val="a0"/>
        <w:rPr>
          <w:lang w:val="ru-RU"/>
        </w:rPr>
      </w:pPr>
      <w:r>
        <w:rPr>
          <w:lang w:val="ru-RU"/>
        </w:rPr>
        <w:t>(Источник официальный сайт Минтруда России:</w:t>
      </w:r>
      <w:bookmarkStart w:id="0" w:name="_GoBack"/>
      <w:bookmarkEnd w:id="0"/>
      <w:r>
        <w:rPr>
          <w:lang w:val="ru-RU"/>
        </w:rPr>
        <w:t xml:space="preserve"> </w:t>
      </w:r>
      <w:hyperlink r:id="rId5" w:history="1">
        <w:r w:rsidRPr="001A46FB">
          <w:rPr>
            <w:rStyle w:val="a8"/>
            <w:lang w:val="ru-RU"/>
          </w:rPr>
          <w:t>https://mintrud.gov.ru/docs/mintrud/employment/62</w:t>
        </w:r>
      </w:hyperlink>
      <w:r>
        <w:rPr>
          <w:lang w:val="ru-RU"/>
        </w:rPr>
        <w:t xml:space="preserve">) </w:t>
      </w:r>
    </w:p>
    <w:sectPr w:rsidR="00A2321A" w:rsidRPr="00A2321A" w:rsidSect="00620A7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3F87"/>
    <w:multiLevelType w:val="multilevel"/>
    <w:tmpl w:val="9B323E72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40472C6C"/>
    <w:multiLevelType w:val="multilevel"/>
    <w:tmpl w:val="EE2CD43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7600237B"/>
    <w:multiLevelType w:val="multilevel"/>
    <w:tmpl w:val="BAE0B472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7D2A1863"/>
    <w:multiLevelType w:val="multilevel"/>
    <w:tmpl w:val="7680A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525CE1"/>
    <w:rsid w:val="004F5100"/>
    <w:rsid w:val="00525CE1"/>
    <w:rsid w:val="005E78D0"/>
    <w:rsid w:val="00620A7A"/>
    <w:rsid w:val="00A2321A"/>
    <w:rsid w:val="00CF3476"/>
    <w:rsid w:val="00DF4BA1"/>
    <w:rsid w:val="00EF57F7"/>
    <w:rsid w:val="00F4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7A"/>
    <w:pPr>
      <w:widowControl w:val="0"/>
    </w:pPr>
  </w:style>
  <w:style w:type="paragraph" w:styleId="1">
    <w:name w:val="heading 1"/>
    <w:basedOn w:val="Heading"/>
    <w:next w:val="a0"/>
    <w:link w:val="10"/>
    <w:qFormat/>
    <w:rsid w:val="00620A7A"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rsid w:val="00620A7A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  <w:rsid w:val="00620A7A"/>
  </w:style>
  <w:style w:type="character" w:customStyle="1" w:styleId="FootnoteCharacters">
    <w:name w:val="Footnote Characters"/>
    <w:qFormat/>
    <w:rsid w:val="00620A7A"/>
  </w:style>
  <w:style w:type="character" w:customStyle="1" w:styleId="InternetLink">
    <w:name w:val="Internet Link"/>
    <w:rsid w:val="00620A7A"/>
    <w:rPr>
      <w:color w:val="000080"/>
      <w:u w:val="single"/>
    </w:rPr>
  </w:style>
  <w:style w:type="character" w:customStyle="1" w:styleId="StrongEmphasis">
    <w:name w:val="Strong Emphasis"/>
    <w:qFormat/>
    <w:rsid w:val="00620A7A"/>
    <w:rPr>
      <w:b/>
      <w:bCs/>
    </w:rPr>
  </w:style>
  <w:style w:type="character" w:customStyle="1" w:styleId="NumberingSymbols">
    <w:name w:val="Numbering Symbols"/>
    <w:qFormat/>
    <w:rsid w:val="00620A7A"/>
  </w:style>
  <w:style w:type="paragraph" w:customStyle="1" w:styleId="Heading">
    <w:name w:val="Heading"/>
    <w:basedOn w:val="a"/>
    <w:next w:val="a0"/>
    <w:qFormat/>
    <w:rsid w:val="00620A7A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rsid w:val="00620A7A"/>
    <w:pPr>
      <w:spacing w:after="283"/>
    </w:pPr>
  </w:style>
  <w:style w:type="paragraph" w:styleId="a4">
    <w:name w:val="List"/>
    <w:basedOn w:val="a0"/>
    <w:rsid w:val="00620A7A"/>
  </w:style>
  <w:style w:type="paragraph" w:styleId="a5">
    <w:name w:val="caption"/>
    <w:basedOn w:val="a"/>
    <w:qFormat/>
    <w:rsid w:val="00620A7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20A7A"/>
    <w:pPr>
      <w:suppressLineNumbers/>
    </w:pPr>
  </w:style>
  <w:style w:type="paragraph" w:customStyle="1" w:styleId="HorizontalLine">
    <w:name w:val="Horizontal Line"/>
    <w:basedOn w:val="a"/>
    <w:next w:val="a0"/>
    <w:qFormat/>
    <w:rsid w:val="00620A7A"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sid w:val="00620A7A"/>
    <w:rPr>
      <w:i/>
    </w:rPr>
  </w:style>
  <w:style w:type="paragraph" w:customStyle="1" w:styleId="TableContents">
    <w:name w:val="Table Contents"/>
    <w:basedOn w:val="a0"/>
    <w:qFormat/>
    <w:rsid w:val="00620A7A"/>
  </w:style>
  <w:style w:type="paragraph" w:styleId="a6">
    <w:name w:val="footer"/>
    <w:basedOn w:val="a"/>
    <w:rsid w:val="00620A7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rsid w:val="00620A7A"/>
    <w:pPr>
      <w:suppressLineNumbers/>
      <w:tabs>
        <w:tab w:val="center" w:pos="4818"/>
        <w:tab w:val="right" w:pos="9637"/>
      </w:tabs>
    </w:pPr>
  </w:style>
  <w:style w:type="character" w:styleId="a8">
    <w:name w:val="Hyperlink"/>
    <w:basedOn w:val="a1"/>
    <w:uiPriority w:val="99"/>
    <w:unhideWhenUsed/>
    <w:rsid w:val="00A2321A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rsid w:val="00EF57F7"/>
    <w:rPr>
      <w:rFonts w:ascii="Thorndale" w:hAnsi="Thorndale"/>
      <w:b/>
      <w:bCs/>
      <w:sz w:val="48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docs/mintrud/employment/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Варюшкин</cp:lastModifiedBy>
  <cp:revision>6</cp:revision>
  <dcterms:created xsi:type="dcterms:W3CDTF">2021-01-19T09:06:00Z</dcterms:created>
  <dcterms:modified xsi:type="dcterms:W3CDTF">2021-01-20T10:17:00Z</dcterms:modified>
  <dc:language>en-US</dc:language>
</cp:coreProperties>
</file>